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720"/>
      </w:pPr>
      <w:r>
        <w:t xml:space="preserve"/>
      </w:r>
    </w:p>
    <w:p>
      <w:r>
        <w:rPr>
          <w:rFonts w:ascii="Arial" w:cs="Arial" w:eastAsia="Arial" w:hAnsi="Arial"/>
          <w:b/>
          <w:bCs/>
          <w:color w:val="6020B0"/>
          <w:sz w:val="80"/>
          <w:szCs w:val="80"/>
        </w:rPr>
        <w:t xml:space="preserve">T3</w:t>
      </w:r>
    </w:p>
    <w:p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Tier 3 · Enterprise Intelligence &amp; Trust</w:t>
      </w:r>
    </w:p>
    <w:p>
      <w:pPr>
        <w:spacing w:after="0" w:before="160"/>
      </w:pPr>
      <w:r>
        <w:t xml:space="preserve"/>
      </w:r>
    </w:p>
    <w:p>
      <w:pPr>
        <w:pBdr>
          <w:bottom w:val="single" w:color="6020B0" w:sz="18" w:space="1"/>
        </w:pBdr>
        <w:spacing w:after="240" w:before="0"/>
      </w:pPr>
      <w:r>
        <w:t xml:space="preserve"/>
      </w:r>
    </w:p>
    <w:p>
      <w:r>
        <w:rPr>
          <w:rFonts w:ascii="Arial" w:cs="Arial" w:eastAsia="Arial" w:hAnsi="Arial"/>
          <w:b/>
          <w:bCs/>
          <w:color w:val="6020B0"/>
          <w:sz w:val="36"/>
          <w:szCs w:val="36"/>
        </w:rPr>
        <w:t xml:space="preserve">Technical Specification</w:t>
      </w:r>
    </w:p>
    <w:p>
      <w:pPr>
        <w:spacing w:after="0" w:before="80"/>
      </w:pPr>
      <w:r>
        <w:t xml:space="preserve"/>
      </w:r>
    </w:p>
    <w:p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Storage Architecture, Analytics Algorithms, and Security Design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Version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PRODUCTION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Zone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IT Zone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InfluxDB 2.x / ISO 22400 OEE / CEF SIEM / OAuth2 RBAC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Block Count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 blocks</w:t>
            </w:r>
          </w:p>
        </w:tc>
      </w:tr>
      <w:tr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Document Date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May 2026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Technical Overview</w:t>
      </w:r>
    </w:p>
    <w:p>
      <w:pPr>
        <w:spacing w:after="12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Tier 3 operates in the IT zone and provides three technical capabilities: durable historian writes (Historian Proxy), statistical operational analytics (OEE Calculator, Trend &amp; Anomaly Detection), and security enforcement (Audit Logger, IAM/RBAC Engine). Five blocks implement these capabilities with zero dependency on raw field data.</w:t>
      </w:r>
    </w:p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1.1 Storage Architecture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T1 Digital Twin Sync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publishes to: twins/state-changes (MQTT topic)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  ↓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T3 Historian Proxy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subscribes to: twins/state-changes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deduplication cache (sliding window per tag)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batches of batchSize points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writes to: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  InfluxDB 2.x (time-series, measurement = "tag_values")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  PostgreSQL   (relational, table = "tag_values")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1.2 Analytics Pipeline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Historian Proxy (write confirmed) → triggers OEE aggregation window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OEE Calculator: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window.close() → { availability, performance, quality, oee }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Port 1: OEE record (all downstream analytics dashboards)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Port 2: OEE alert if oee &lt; oeeThreshold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Tag events (from DTS):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Trend &amp; Anomaly Detection rolling window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Port 1: Normal (stats injected into msg.stats)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→ Port 2: Anomaly event → T2 Action Logic Engine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Block Specifications</w:t>
      </w:r>
    </w:p>
    <w:p>
      <w:pPr>
        <w:pStyle w:val="Heading2"/>
      </w:pPr>
      <w:r>
        <w:t xml:space="preserve">2.1 Historian Proxy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historian-proxy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 + influxdb + postgresql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InfluxDB 2.x line protocol / PostgreSQL COPY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Dedup algorithm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Sliding window cache: Map&lt;twinId:semanticId, { value, ts }&gt;. Suppresses writes where value unchanged within window.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Batch flush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Triggered by batchSize count OR flushIntervalMs timer, whichever fires first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InfluxDB line protocol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measurement,assetId=…,semanticId=… value=…,prev=… &lt;nanosecond_timestamp&gt;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PostgreSQL insert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INSERT INTO tag_values(asset_id, semantic_id, value, prev, ts) VALUES(…)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1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 written: N, latencyMs: number, target: "influx|pg|both" }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2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 error, retryCount, batch: Point[] } — batch preserved for retry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2.2 OEE Calculator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oee-calculator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 + aggregator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ISA-95 Part 3 / ISO 22400-2 KPI definitions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Formula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OEE = A × P × Q where A = (PPT - DT) / PPT, P = AO / TO, Q = (TP - DC) / TP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PPT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plannedProductionTime (seconds per shift, configurable)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Window 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Tumbling window — non-overlapping, fixed windowSec duration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precision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4 decimal places (toFixed(4))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Alert threshold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oeeThreshold (default 0.75 = 75%). Port 2 fires when oee &lt; threshold.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2.3 Trend &amp; Anomaly Detection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trend-anomaly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 + ml-inference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Statistical Process Control (SPC) — Z-Score, IQR, OLS regression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Z-Score formula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z = |x - μ| / σ where μ and σ are computed over windowSize samples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IQR formula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outlier if x &lt; Q1 - 1.5*IQR or x &gt; Q3 + 1.5*IQR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Trend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Ordinary Least Squares slope: b = Σ(xi - x̄)(yi - ȳ) / Σ(xi - x̄)²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Window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Rolling FIFO buffer per tagId, length = windowSize (default 60 samples)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Warm-up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anomaly checks until window contains ≥ minDataPoints samples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1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msg.stats = { mean, std, zScore, trend, algorithm }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2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 ...msg, isAnomaly: true, zScore, tagId } — feeds T2 Action Logic Engine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2.4 Audit Logger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audit-logger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 + mqtt-out + file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CEF 0.1 (ArcSight Common Event Format) — SIEM-compatible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CEF structure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CEF:Version|Vendor|Product|Version|SignatureId|Name|Severity|Extension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Extension fields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src, act, outcome, msg, rt (receive time epoch ms), cs1 (chain hash)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Chain integrity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cs1 = SHA-256(lastHash + currentCEFLine). Tamper detection via broken hash chain.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Severity mapping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info→3, warn→5, error→7, critical→8 (configurable via severityMap)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Log rotation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rotation when rotateDaily=true. Filename: audit.log.YYYY-MM-DD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1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CEF string published to auditTopic + written to logPath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2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 error, cefLine } on file write or MQTT publish failure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2.5 IAM / RBAC Engine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iam-rbac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function + http-request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Standard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RBAC (NIST SP 800-162) / OAuth2 (RFC 6749) / LDAP (RFC 4511)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Token validation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jwt.verify(token, jwtSecret) — HS256 by default; RS256 supported with publicKey config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ACL evaluation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micromatch.isMatch(resource, pattern) for MQTT wildcard matching (+ and #)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LDAP integration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When provider=ldap, ldapjs resolves userId → role from configured DN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defaultDeny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When true, any unmatched ACL entry results in denial (fail-closed security model)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1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msg.auth = { userId, role } — passes through authorized msg unchanged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Output 2</w:t>
            </w:r>
          </w:p>
        </w:tc>
        <w:tc>
          <w:tcPr>
            <w:tcW w:type="dxa" w:w="6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{ userId, role, resource, action, deny: reason } — forwarded to Audit Logger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Configuration Reference</w:t>
      </w:r>
    </w:p>
    <w:p>
      <w:pPr>
        <w:spacing w:after="0" w:before="80"/>
      </w:pPr>
      <w:r>
        <w:t xml:space="preserve"/>
      </w:r>
    </w:p>
    <w:tbl>
      <w:tblPr>
        <w:tblW w:type="dxa" w:w="91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200"/>
        <w:gridCol w:w="1200"/>
        <w:gridCol w:w="37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D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Block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D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Parameter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D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Type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0D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Default / 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Block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Parameter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Type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Default / 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Historian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influxUrl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url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http://influx:8086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Historian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influxBucket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factory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Historian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batchSize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100 points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Historian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flushIntervalMs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5000ms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Historian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deduplicateWindow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1s (parsed to ms)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OEE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windowSec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300 (5 minutes)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OEE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oeeThreshold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0.75 (75%)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OEE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plannedProductionTime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28800 (8h shift in seconds)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Anomaly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algorithm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enum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z-score | iqr | trend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Anomaly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zThreshold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3.0 standard deviations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Anomaly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windowSize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60 samples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Anomaly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minDataPoints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number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30 samples (warm-up)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Audit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cefVersion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Audit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severityMap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string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info:3,warn:5,critical:8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Audit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rotateDaily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bool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true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RBAC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provider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enum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local | ldap | ad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RBAC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defaultDeny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bool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true (fail-closed)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RBAC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auditDenials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bool</w:t>
            </w:r>
          </w:p>
        </w:tc>
        <w:tc>
          <w:tcPr>
            <w:tcW w:type="dxa" w:w="3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true (forward to Audit Logger)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Security Architecture</w:t>
      </w:r>
    </w:p>
    <w:p>
      <w:pPr>
        <w:pStyle w:val="Heading2"/>
      </w:pPr>
      <w:r>
        <w:t xml:space="preserve">4.1 Defense-in-Depth</w:t>
      </w:r>
    </w:p>
    <w:p>
      <w:pPr>
        <w:spacing w:after="12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T3 implements two security controls that operate at different layers. The IAM/RBAC Engine is a preventive control — it blocks unauthorized requests before they reach sensitive blocks. The Audit Logger is a detective control — it records what happened for post-incident forensic analysis.</w:t>
      </w:r>
    </w:p>
    <w:p>
      <w:pPr>
        <w:spacing w:after="0" w:before="12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120"/>
      </w:tblGrid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Preventive layer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IAM/RBAC Engine — fail-closed (defaultDeny=true). All requests denied unless explicitly permitted.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Detective layer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 Logger — CEF events with SHA-256 chain integrity. Any gap in the hash chain indicates log tampering.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Key management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jwtSecret should be stored in Node-RED credentials (encrypted) not in flow properties.</w:t>
            </w:r>
          </w:p>
        </w:tc>
      </w:tr>
      <w:tr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LDAP/AD integration</w:t>
            </w:r>
          </w:p>
        </w:tc>
        <w:tc>
          <w:tcPr>
            <w:tcW w:type="dxa" w:w="6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LDAPS (port 636) or STARTTLS for LDAP connections in production.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4.2 Data Retention</w:t>
      </w:r>
    </w:p>
    <w:p>
      <w:pPr>
        <w:spacing w:after="12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InfluxDB buckets should have a configured retention policy appropriate for the use case. Audit logs should be retained for a minimum of 90 days for regulatory compliance. PostgreSQL historian data can be archived to cold storage using pg_dump on a scheduled basis.</w:t>
      </w:r>
    </w:p>
    <w:p>
      <w:pPr>
        <w:spacing w:after="0" w:before="120"/>
      </w:pPr>
      <w:r>
        <w:t xml:space="preserve"/>
      </w:r>
    </w:p>
    <w:p>
      <w:pPr>
        <w:pStyle w:val="Heading2"/>
      </w:pPr>
      <w:r>
        <w:t xml:space="preserve">4.3 Integration with T2 Action Logic Engine</w:t>
      </w:r>
    </w:p>
    <w:p>
      <w:pPr>
        <w:spacing w:after="12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T3 Anomaly Detection (Port 2) feeds directly into T2 Action Logic Engine. This integration creates the closed-loop feedback path. The technical contract is:</w:t>
      </w:r>
    </w:p>
    <w:p>
      <w:pPr>
        <w:spacing w:after="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// T3 Anomaly Detection Port 2 output → T2 ALE input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{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payload: {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impactArray:  string[],   // from prior Asset Graph BFS query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triggerType:  "anomaly",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triggerValue: number,     // the anomalous value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tagId:        string,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zScore:       number,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isAnomaly:    true,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  assetContext: { ... }     // full T1 context preserved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},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  stats: { mean, std, zScore, trend, algorithm }</w:t>
            </w:r>
          </w:p>
          <w:p>
            <w:r>
              <w:rPr>
                <w:rFonts w:ascii="Courier New" w:cs="Courier New" w:eastAsia="Courier New" w:hAnsi="Courier New"/>
                <w:color w:val="A0E8C8"/>
                <w:sz w:val="18"/>
                <w:szCs w:val="18"/>
              </w:rPr>
              <w:t xml:space="preserve">}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AAAAAA"/>
        <w:sz w:val="16"/>
        <w:szCs w:val="16"/>
      </w:rPr>
      <w:t xml:space="preserve">© IIoT Framework — Tier 3 · Enterprise Intelligence &amp; Trust  ·  InfluxDB 2.x / ISO 22400 OEE / CEF SIEM / OAuth2 RBAC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AAAAAA"/>
        <w:sz w:val="16"/>
        <w:szCs w:val="16"/>
      </w:rPr>
      <w:t xml:space="preserve">Page </w:t>
    </w:r>
    <w:r>
      <w:rPr>
        <w:rFonts w:ascii="Arial" w:cs="Arial" w:eastAsia="Arial" w:hAnsi="Arial"/>
        <w:color w:val="AAAAAA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6020B0" w:sz="6" w:space="4"/>
      </w:pBdr>
      <w:tabs>
        <w:tab w:val="right" w:pos="9026"/>
      </w:tabs>
    </w:pPr>
    <w:r>
      <w:rPr>
        <w:rFonts w:ascii="Arial" w:cs="Arial" w:eastAsia="Arial" w:hAnsi="Arial"/>
        <w:b/>
        <w:bCs/>
        <w:color w:val="6020B0"/>
        <w:sz w:val="18"/>
        <w:szCs w:val="18"/>
      </w:rPr>
      <w:t xml:space="preserve">T3 · Intelligence &amp; Trust  —  Technical Specification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888888"/>
        <w:sz w:val="16"/>
        <w:szCs w:val="16"/>
      </w:rPr>
      <w:t xml:space="preserve">IIoT Framework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6020B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C2C2C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  <w:style w:type="paragraph" w:styleId="CodeBlock">
    <w:name w:val="Code Block"/>
    <w:basedOn w:val="Normal"/>
    <w:next w:val="Normal"/>
    <w:pPr>
      <w:spacing w:after="60" w:before="60"/>
    </w:pPr>
    <w:rPr>
      <w:rFonts w:ascii="Courier New" w:cs="Courier New" w:eastAsia="Courier New" w:hAnsi="Courier New"/>
      <w:color w:val="1A1A2E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2026-05-15T08:37:35.713Z</dcterms:created>
  <dcterms:modified xsi:type="dcterms:W3CDTF">2026-05-15T08:37:35.713Z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